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EC" w:rsidRPr="00C63496" w:rsidRDefault="006948EC" w:rsidP="00C6349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spacing w:val="2"/>
          <w:kern w:val="36"/>
          <w:lang w:eastAsia="ru-RU"/>
        </w:rPr>
      </w:pPr>
      <w:r w:rsidRPr="00C63496">
        <w:rPr>
          <w:rFonts w:ascii="Arial" w:eastAsia="Times New Roman" w:hAnsi="Arial" w:cs="Arial"/>
          <w:b/>
          <w:bCs/>
          <w:color w:val="000000"/>
          <w:spacing w:val="2"/>
          <w:kern w:val="36"/>
          <w:lang w:eastAsia="ru-RU"/>
        </w:rPr>
        <w:t>Производственный календарь на 2019 год (проект)</w:t>
      </w:r>
    </w:p>
    <w:p w:rsidR="006C780D" w:rsidRPr="00C63496" w:rsidRDefault="006C780D" w:rsidP="00C63496">
      <w:pPr>
        <w:shd w:val="clear" w:color="auto" w:fill="FFFFFF"/>
        <w:spacing w:after="0" w:line="240" w:lineRule="auto"/>
        <w:outlineLvl w:val="0"/>
      </w:pPr>
    </w:p>
    <w:p w:rsidR="006C780D" w:rsidRPr="00C63496" w:rsidRDefault="00C63496" w:rsidP="00C63496">
      <w:pPr>
        <w:shd w:val="clear" w:color="auto" w:fill="FFFFFF"/>
        <w:spacing w:after="0" w:line="240" w:lineRule="auto"/>
        <w:outlineLvl w:val="0"/>
        <w:rPr>
          <w:rFonts w:eastAsia="Times New Roman" w:cs="Times New Roman"/>
          <w:color w:val="000000"/>
          <w:spacing w:val="2"/>
          <w:shd w:val="clear" w:color="auto" w:fill="FFFFFF"/>
          <w:lang w:eastAsia="ru-RU"/>
        </w:rPr>
      </w:pPr>
      <w:hyperlink r:id="rId6" w:history="1">
        <w:r w:rsidR="006C780D"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shd w:val="clear" w:color="auto" w:fill="FFFFFF"/>
            <w:lang w:eastAsia="ru-RU"/>
          </w:rPr>
          <w:t>http://www.consultant.ru/law/ref/calendar/proizvodstvennye/2019/</w:t>
        </w:r>
      </w:hyperlink>
      <w:r w:rsidR="006C780D"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r w:rsidR="006C780D" w:rsidRPr="00C63496">
        <w:rPr>
          <w:rFonts w:ascii="PTSansRegular" w:eastAsia="Times New Roman" w:hAnsi="PTSansRegular" w:cs="Times New Roman"/>
          <w:color w:val="000000"/>
          <w:spacing w:val="2"/>
          <w:shd w:val="clear" w:color="auto" w:fill="FFFFFF"/>
          <w:lang w:eastAsia="ru-RU"/>
        </w:rPr>
        <w:t xml:space="preserve">© </w:t>
      </w:r>
      <w:proofErr w:type="spellStart"/>
      <w:r w:rsidR="006C780D" w:rsidRPr="00C63496">
        <w:rPr>
          <w:rFonts w:ascii="PTSansRegular" w:eastAsia="Times New Roman" w:hAnsi="PTSansRegular" w:cs="Times New Roman"/>
          <w:color w:val="000000"/>
          <w:spacing w:val="2"/>
          <w:shd w:val="clear" w:color="auto" w:fill="FFFFFF"/>
          <w:lang w:eastAsia="ru-RU"/>
        </w:rPr>
        <w:t>КонсультантПлюс</w:t>
      </w:r>
      <w:proofErr w:type="spellEnd"/>
      <w:r w:rsidR="006C780D" w:rsidRPr="00C63496">
        <w:rPr>
          <w:rFonts w:ascii="PTSansRegular" w:eastAsia="Times New Roman" w:hAnsi="PTSansRegular" w:cs="Times New Roman"/>
          <w:color w:val="000000"/>
          <w:spacing w:val="2"/>
          <w:shd w:val="clear" w:color="auto" w:fill="FFFFFF"/>
          <w:lang w:eastAsia="ru-RU"/>
        </w:rPr>
        <w:t>, 1997-2018</w:t>
      </w:r>
    </w:p>
    <w:p w:rsidR="006C780D" w:rsidRPr="00C63496" w:rsidRDefault="006C780D" w:rsidP="00C63496">
      <w:pPr>
        <w:shd w:val="clear" w:color="auto" w:fill="FFFFFF"/>
        <w:spacing w:after="0" w:line="240" w:lineRule="auto"/>
        <w:outlineLvl w:val="0"/>
        <w:rPr>
          <w:rFonts w:eastAsia="Times New Roman" w:cs="Arial"/>
          <w:b/>
          <w:bCs/>
          <w:color w:val="000000"/>
          <w:spacing w:val="2"/>
          <w:kern w:val="36"/>
          <w:lang w:eastAsia="ru-RU"/>
        </w:rPr>
      </w:pPr>
    </w:p>
    <w:p w:rsidR="006948EC" w:rsidRPr="00C63496" w:rsidRDefault="006948EC" w:rsidP="00C63496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2019</w:t>
      </w:r>
    </w:p>
    <w:p w:rsidR="006948EC" w:rsidRPr="00C63496" w:rsidRDefault="00C63496" w:rsidP="00C63496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hyperlink r:id="rId7" w:history="1">
        <w:r w:rsidR="006948EC"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lang w:eastAsia="ru-RU"/>
          </w:rPr>
          <w:t>2018</w:t>
        </w:r>
      </w:hyperlink>
    </w:p>
    <w:p w:rsidR="006948EC" w:rsidRPr="00C63496" w:rsidRDefault="00C63496" w:rsidP="00C63496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hyperlink r:id="rId8" w:history="1">
        <w:r w:rsidR="006948EC"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lang w:eastAsia="ru-RU"/>
          </w:rPr>
          <w:t>2017</w:t>
        </w:r>
      </w:hyperlink>
    </w:p>
    <w:p w:rsidR="006948EC" w:rsidRPr="00C63496" w:rsidRDefault="00C63496" w:rsidP="00C63496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hyperlink r:id="rId9" w:history="1">
        <w:r w:rsidR="006948EC"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lang w:eastAsia="ru-RU"/>
          </w:rPr>
          <w:t>2016</w:t>
        </w:r>
      </w:hyperlink>
    </w:p>
    <w:p w:rsidR="006948EC" w:rsidRPr="00C63496" w:rsidRDefault="00C63496" w:rsidP="00C63496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hyperlink r:id="rId10" w:history="1">
        <w:r w:rsidR="006948EC"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lang w:eastAsia="ru-RU"/>
          </w:rPr>
          <w:t>2015</w:t>
        </w:r>
      </w:hyperlink>
    </w:p>
    <w:p w:rsidR="006948EC" w:rsidRPr="00C63496" w:rsidRDefault="00C63496" w:rsidP="00C63496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hyperlink r:id="rId11" w:history="1">
        <w:r w:rsidR="006948EC"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lang w:eastAsia="ru-RU"/>
          </w:rPr>
          <w:t>2014</w:t>
        </w:r>
      </w:hyperlink>
    </w:p>
    <w:p w:rsidR="006948EC" w:rsidRPr="00C63496" w:rsidRDefault="00C63496" w:rsidP="00C63496">
      <w:pPr>
        <w:numPr>
          <w:ilvl w:val="0"/>
          <w:numId w:val="1"/>
        </w:numPr>
        <w:shd w:val="clear" w:color="auto" w:fill="FFFFFF"/>
        <w:spacing w:after="0" w:line="240" w:lineRule="auto"/>
        <w:ind w:left="495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hyperlink r:id="rId12" w:history="1">
        <w:r w:rsidR="006948EC"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lang w:eastAsia="ru-RU"/>
          </w:rPr>
          <w:t>2013</w:t>
        </w:r>
      </w:hyperlink>
    </w:p>
    <w:p w:rsidR="006948EC" w:rsidRPr="00C63496" w:rsidRDefault="006948EC" w:rsidP="00C63496">
      <w:pPr>
        <w:shd w:val="clear" w:color="auto" w:fill="FFFFFF"/>
        <w:spacing w:after="0" w:line="240" w:lineRule="auto"/>
        <w:jc w:val="right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Поделиться ссылкой:</w:t>
      </w:r>
    </w:p>
    <w:p w:rsidR="006948EC" w:rsidRPr="00C63496" w:rsidRDefault="006948EC" w:rsidP="00C6349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bookmarkStart w:id="0" w:name="2019"/>
      <w:bookmarkEnd w:id="0"/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 xml:space="preserve">Производственный календарь — незаменимый помощник бухгалтера и кадровика. В нем содержится информация о количестве рабочих, выходных и праздничных дней, норме рабочего времени в 2019 году. Для удобства использования производственный календарь содержит как </w:t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общеквартальные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 xml:space="preserve"> сведения о количестве рабочих и выходных дней, так и информацию по каждому месяцу. Бухгалтеру эти сведения помогут безошибочно и быстро начислить заработную плату, оплатить больничный лист, рассчитать отпуск, составить график работы. Работник сможет выбрать наиболее благоприятный для отпуска период. В календаре можно также узнать о профессиональных праздниках на конкретную дату.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 xml:space="preserve">Производственный календарь 2019 </w:t>
      </w:r>
      <w:proofErr w:type="gram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подскажет о переносе</w:t>
      </w:r>
      <w:proofErr w:type="gram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 xml:space="preserve"> выходных и праздничных дней, а комментарий к нему подробно разъяснит представленные в календаре данные.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В соответствии с </w:t>
      </w:r>
      <w:hyperlink r:id="rId13" w:anchor="dst1804" w:tgtFrame="_blank" w:history="1">
        <w:r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lang w:eastAsia="ru-RU"/>
          </w:rPr>
          <w:t>частью пятой статьи 112 ТК РФ</w:t>
        </w:r>
      </w:hyperlink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 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Федерации. К настоящему времени соответствующий документ о переносе выходных дней в 2019 году еще не принят.</w:t>
      </w:r>
    </w:p>
    <w:p w:rsidR="006C780D" w:rsidRPr="00C63496" w:rsidRDefault="006C780D" w:rsidP="00C6349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lang w:eastAsia="ru-RU"/>
        </w:rPr>
      </w:pPr>
    </w:p>
    <w:p w:rsidR="006948EC" w:rsidRPr="00C63496" w:rsidRDefault="006948EC" w:rsidP="00C63496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lang w:eastAsia="ru-RU"/>
        </w:rPr>
      </w:pPr>
      <w:r w:rsidRPr="00C63496">
        <w:rPr>
          <w:rFonts w:ascii="Arial" w:eastAsia="Times New Roman" w:hAnsi="Arial" w:cs="Arial"/>
          <w:color w:val="000000"/>
          <w:spacing w:val="2"/>
          <w:lang w:eastAsia="ru-RU"/>
        </w:rPr>
        <w:t>Производственный календарь на 2019 год при пятидневной рабочей неделе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aps/>
          <w:color w:val="666699"/>
          <w:spacing w:val="2"/>
          <w:lang w:eastAsia="ru-RU"/>
        </w:rPr>
      </w:pP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t>I</w:t>
      </w: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br/>
        <w:t>КВАРТАЛ</w:t>
      </w: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Январь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6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20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27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10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Февраль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17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22*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24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10</w:t>
            </w:r>
          </w:p>
        </w:tc>
      </w:tr>
    </w:tbl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vanish/>
          <w:color w:val="000000"/>
          <w:spacing w:val="2"/>
          <w:lang w:eastAsia="ru-RU"/>
        </w:rPr>
      </w:pP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Март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7*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17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24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</w:tr>
    </w:tbl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Кол-во дней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календарных 90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рабочих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вых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./</w:t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праздн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28</w:t>
      </w:r>
      <w:bookmarkStart w:id="1" w:name="_GoBack"/>
      <w:bookmarkEnd w:id="1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Рабочие часы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40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36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24 ч. неделя—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C63496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lastRenderedPageBreak/>
        <w:pict>
          <v:rect id="_x0000_i1025" style="width:0;height:0" o:hralign="center" o:hrstd="t" o:hr="t" fillcolor="#a0a0a0" stroked="f"/>
        </w:pic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aps/>
          <w:color w:val="666699"/>
          <w:spacing w:val="2"/>
          <w:lang w:eastAsia="ru-RU"/>
        </w:rPr>
      </w:pP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t>II</w:t>
      </w: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br/>
        <w:t>КВАРТАЛ</w:t>
      </w: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Апрель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7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28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30*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12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Май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8*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12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19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26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9</w:t>
            </w:r>
          </w:p>
        </w:tc>
      </w:tr>
    </w:tbl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vanish/>
          <w:color w:val="000000"/>
          <w:spacing w:val="2"/>
          <w:lang w:eastAsia="ru-RU"/>
        </w:rPr>
      </w:pP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Июнь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11*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16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30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</w:tr>
    </w:tbl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Кол-во дней</w:t>
      </w:r>
    </w:p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календарных 91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рабочих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вых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./</w:t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праздн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.—</w:t>
      </w:r>
    </w:p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30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30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lastRenderedPageBreak/>
        <w:t>Рабочие часы</w:t>
      </w:r>
    </w:p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40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36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24 ч. неделя—</w:t>
      </w:r>
    </w:p>
    <w:p w:rsidR="006948EC" w:rsidRPr="00C63496" w:rsidRDefault="006948EC" w:rsidP="00C63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C63496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pict>
          <v:rect id="_x0000_i1026" style="width:0;height:0" o:hralign="center" o:hrstd="t" o:hr="t" fillcolor="#a0a0a0" stroked="f"/>
        </w:pic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aps/>
          <w:color w:val="666699"/>
          <w:spacing w:val="2"/>
          <w:lang w:eastAsia="ru-RU"/>
        </w:rPr>
      </w:pP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t>III</w:t>
      </w: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br/>
        <w:t>КВАРТАЛ</w:t>
      </w: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Июль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7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28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11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Август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4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18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25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</w:tr>
    </w:tbl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vanish/>
          <w:color w:val="000000"/>
          <w:spacing w:val="2"/>
          <w:lang w:eastAsia="ru-RU"/>
        </w:rPr>
      </w:pP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Сентябрь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15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22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29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</w:tr>
    </w:tbl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lastRenderedPageBreak/>
        <w:t>Кол-во дней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календарных 92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рабочих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вых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./</w:t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праздн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30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Рабочие часы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40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36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24 ч. неделя—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C63496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pict>
          <v:rect id="_x0000_i1027" style="width:0;height:0" o:hralign="center" o:hrstd="t" o:hr="t" fillcolor="#a0a0a0" stroked="f"/>
        </w:pic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caps/>
          <w:color w:val="666699"/>
          <w:spacing w:val="2"/>
          <w:lang w:eastAsia="ru-RU"/>
        </w:rPr>
      </w:pP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t>IV</w:t>
      </w:r>
      <w:r w:rsidRPr="00C63496">
        <w:rPr>
          <w:rFonts w:ascii="Arial" w:eastAsia="Times New Roman" w:hAnsi="Arial" w:cs="Arial"/>
          <w:caps/>
          <w:color w:val="666699"/>
          <w:spacing w:val="2"/>
          <w:lang w:eastAsia="ru-RU"/>
        </w:rPr>
        <w:br/>
        <w:t>КВАРТАЛ</w:t>
      </w: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Октябрь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6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20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27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10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Ноябрь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17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24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8</w:t>
            </w:r>
          </w:p>
        </w:tc>
      </w:tr>
    </w:tbl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vanish/>
          <w:color w:val="000000"/>
          <w:spacing w:val="2"/>
          <w:lang w:eastAsia="ru-RU"/>
        </w:rPr>
      </w:pPr>
    </w:p>
    <w:tbl>
      <w:tblPr>
        <w:tblW w:w="187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0"/>
        <w:gridCol w:w="2680"/>
        <w:gridCol w:w="2681"/>
        <w:gridCol w:w="2681"/>
        <w:gridCol w:w="2681"/>
        <w:gridCol w:w="2681"/>
        <w:gridCol w:w="2681"/>
      </w:tblGrid>
      <w:tr w:rsidR="006948EC" w:rsidRPr="00C63496" w:rsidTr="006948EC">
        <w:trPr>
          <w:tblHeader/>
        </w:trPr>
        <w:tc>
          <w:tcPr>
            <w:tcW w:w="420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363636"/>
                <w:lang w:eastAsia="ru-RU"/>
              </w:rPr>
              <w:t>Декабрь</w:t>
            </w:r>
          </w:p>
        </w:tc>
      </w:tr>
      <w:tr w:rsidR="006948EC" w:rsidRPr="00C63496" w:rsidTr="006948EC">
        <w:trPr>
          <w:tblHeader/>
        </w:trPr>
        <w:tc>
          <w:tcPr>
            <w:tcW w:w="420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вт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ср</w:t>
            </w:r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чт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63636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color w:val="363636"/>
                <w:lang w:eastAsia="ru-RU"/>
              </w:rPr>
              <w:t>пт</w:t>
            </w:r>
            <w:proofErr w:type="spell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proofErr w:type="gram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20" w:type="dxa"/>
            <w:tcBorders>
              <w:bottom w:val="single" w:sz="6" w:space="0" w:color="CCCCCC"/>
              <w:right w:val="single" w:sz="6" w:space="0" w:color="CCCCCC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proofErr w:type="spellStart"/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вс</w:t>
            </w:r>
            <w:proofErr w:type="spellEnd"/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8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15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22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28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29</w:t>
            </w:r>
          </w:p>
        </w:tc>
      </w:tr>
      <w:tr w:rsidR="006948EC" w:rsidRPr="00C63496" w:rsidTr="006948EC">
        <w:tc>
          <w:tcPr>
            <w:tcW w:w="0" w:type="auto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31*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948EC" w:rsidRPr="00C63496" w:rsidRDefault="006948EC" w:rsidP="00C6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ACACA"/>
                <w:lang w:eastAsia="ru-RU"/>
              </w:rPr>
            </w:pPr>
            <w:r w:rsidRPr="00C63496">
              <w:rPr>
                <w:rFonts w:ascii="Times New Roman" w:eastAsia="Times New Roman" w:hAnsi="Times New Roman" w:cs="Times New Roman"/>
                <w:color w:val="CACACA"/>
                <w:lang w:eastAsia="ru-RU"/>
              </w:rPr>
              <w:t>5</w:t>
            </w:r>
          </w:p>
        </w:tc>
      </w:tr>
    </w:tbl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Кол-во дней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календарных 92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рабочих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вых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./</w:t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праздн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.—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30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31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Рабочие часы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40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36 ч. неделя 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24 ч. неделя—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—</w:t>
      </w:r>
    </w:p>
    <w:p w:rsidR="006948EC" w:rsidRPr="00C63496" w:rsidRDefault="00C63496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pict>
          <v:rect id="_x0000_i1028" style="width:0;height:0" o:hralign="center" o:hrstd="t" o:hr="t" fillcolor="#a0a0a0" stroked="f"/>
        </w:pic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pacing w:val="2"/>
          <w:lang w:eastAsia="ru-RU"/>
        </w:rPr>
      </w:pPr>
      <w:r w:rsidRPr="00C63496">
        <w:rPr>
          <w:rFonts w:ascii="Arial" w:eastAsia="Times New Roman" w:hAnsi="Arial" w:cs="Arial"/>
          <w:color w:val="000000"/>
          <w:spacing w:val="2"/>
          <w:lang w:eastAsia="ru-RU"/>
        </w:rPr>
        <w:lastRenderedPageBreak/>
        <w:t>Нормы рабочего времени в 2019 году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Кол-во дней за 2019 год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календарных — 365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рабочие дни</w:t>
      </w:r>
      <w:proofErr w:type="gram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 xml:space="preserve"> — 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proofErr w:type="gram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выходных/праздничных — 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jc w:val="center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Рабочее время за 2019 год (в часах)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при 40-часовой неделе</w:t>
      </w:r>
      <w:proofErr w:type="gramStart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 xml:space="preserve"> — 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proofErr w:type="gramEnd"/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при 36-часовой неделе — —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  <w:t>при 24-часовой неделе — —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b/>
          <w:bCs/>
          <w:color w:val="000000"/>
          <w:spacing w:val="2"/>
          <w:lang w:eastAsia="ru-RU"/>
        </w:rPr>
        <w:t>*</w:t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 Предпраздничные дни, в которые продолжительность работы сокращается на один час.</w:t>
      </w:r>
    </w:p>
    <w:p w:rsidR="006948EC" w:rsidRPr="00C63496" w:rsidRDefault="006948EC" w:rsidP="00C63496">
      <w:pPr>
        <w:shd w:val="clear" w:color="auto" w:fill="FFFFFF"/>
        <w:spacing w:after="0" w:line="240" w:lineRule="auto"/>
        <w:rPr>
          <w:rFonts w:ascii="PTSansRegular" w:eastAsia="Times New Roman" w:hAnsi="PTSansRegular" w:cs="Times New Roman"/>
          <w:color w:val="000000"/>
          <w:spacing w:val="2"/>
          <w:lang w:eastAsia="ru-RU"/>
        </w:rPr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t> </w:t>
      </w:r>
    </w:p>
    <w:p w:rsidR="004553E6" w:rsidRPr="00C63496" w:rsidRDefault="006948EC" w:rsidP="00C63496">
      <w:pPr>
        <w:spacing w:after="0" w:line="240" w:lineRule="auto"/>
      </w:pP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hyperlink r:id="rId14" w:history="1">
        <w:r w:rsidRPr="00C63496">
          <w:rPr>
            <w:rFonts w:ascii="PTSansRegular" w:eastAsia="Times New Roman" w:hAnsi="PTSansRegular" w:cs="Times New Roman"/>
            <w:color w:val="1200D4"/>
            <w:spacing w:val="2"/>
            <w:u w:val="single"/>
            <w:shd w:val="clear" w:color="auto" w:fill="FFFFFF"/>
            <w:lang w:eastAsia="ru-RU"/>
          </w:rPr>
          <w:t>http://www.consultant.ru/law/ref/calendar/proizvodstvennye/2019/</w:t>
        </w:r>
      </w:hyperlink>
      <w:r w:rsidRPr="00C63496">
        <w:rPr>
          <w:rFonts w:ascii="PTSansRegular" w:eastAsia="Times New Roman" w:hAnsi="PTSansRegular" w:cs="Times New Roman"/>
          <w:color w:val="000000"/>
          <w:spacing w:val="2"/>
          <w:lang w:eastAsia="ru-RU"/>
        </w:rPr>
        <w:br/>
      </w:r>
      <w:r w:rsidRPr="00C63496">
        <w:rPr>
          <w:rFonts w:ascii="PTSansRegular" w:eastAsia="Times New Roman" w:hAnsi="PTSansRegular" w:cs="Times New Roman"/>
          <w:color w:val="000000"/>
          <w:spacing w:val="2"/>
          <w:shd w:val="clear" w:color="auto" w:fill="FFFFFF"/>
          <w:lang w:eastAsia="ru-RU"/>
        </w:rPr>
        <w:t xml:space="preserve">© </w:t>
      </w:r>
      <w:proofErr w:type="spellStart"/>
      <w:r w:rsidRPr="00C63496">
        <w:rPr>
          <w:rFonts w:ascii="PTSansRegular" w:eastAsia="Times New Roman" w:hAnsi="PTSansRegular" w:cs="Times New Roman"/>
          <w:color w:val="000000"/>
          <w:spacing w:val="2"/>
          <w:shd w:val="clear" w:color="auto" w:fill="FFFFFF"/>
          <w:lang w:eastAsia="ru-RU"/>
        </w:rPr>
        <w:t>КонсультантПлюс</w:t>
      </w:r>
      <w:proofErr w:type="spellEnd"/>
      <w:r w:rsidRPr="00C63496">
        <w:rPr>
          <w:rFonts w:ascii="PTSansRegular" w:eastAsia="Times New Roman" w:hAnsi="PTSansRegular" w:cs="Times New Roman"/>
          <w:color w:val="000000"/>
          <w:spacing w:val="2"/>
          <w:shd w:val="clear" w:color="auto" w:fill="FFFFFF"/>
          <w:lang w:eastAsia="ru-RU"/>
        </w:rPr>
        <w:t>, 1997-2018</w:t>
      </w:r>
    </w:p>
    <w:sectPr w:rsidR="004553E6" w:rsidRPr="00C63496" w:rsidSect="00C6349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81185"/>
    <w:multiLevelType w:val="multilevel"/>
    <w:tmpl w:val="B336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82E"/>
    <w:rsid w:val="001366F8"/>
    <w:rsid w:val="0042782E"/>
    <w:rsid w:val="004553E6"/>
    <w:rsid w:val="006948EC"/>
    <w:rsid w:val="006C780D"/>
    <w:rsid w:val="009B293D"/>
    <w:rsid w:val="00C63496"/>
    <w:rsid w:val="00D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8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48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48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8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48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48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948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48E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69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">
    <w:name w:val="small"/>
    <w:basedOn w:val="a"/>
    <w:rsid w:val="0069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69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48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48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948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8E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48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948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948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48EC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69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">
    <w:name w:val="small"/>
    <w:basedOn w:val="a"/>
    <w:rsid w:val="0069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694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41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7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2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6984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2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5971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4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2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7598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7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291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905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2645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242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0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1903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075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4003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518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9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256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3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131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91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970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3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1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7712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9824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761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0621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0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5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6440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9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3088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59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3441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8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8194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5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842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2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law/ref/calendar/proizvodstvennye/2017/" TargetMode="External"/><Relationship Id="rId13" Type="http://schemas.openxmlformats.org/officeDocument/2006/relationships/hyperlink" Target="http://www.consultant.ru/document/cons_doc_LAW_34683/98ef2900507766e70ff29c0b9d8e2353ea80a1cf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law/ref/calendar/proizvodstvennye/2018/" TargetMode="External"/><Relationship Id="rId12" Type="http://schemas.openxmlformats.org/officeDocument/2006/relationships/hyperlink" Target="http://www.consultant.ru/law/ref/calendar/proizvodstvennye/2013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law/ref/calendar/proizvodstvennye/2019/" TargetMode="External"/><Relationship Id="rId11" Type="http://schemas.openxmlformats.org/officeDocument/2006/relationships/hyperlink" Target="http://www.consultant.ru/law/ref/calendar/proizvodstvennye/2014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law/ref/calendar/proizvodstvennye/201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law/ref/calendar/proizvodstvennye/2016/" TargetMode="External"/><Relationship Id="rId14" Type="http://schemas.openxmlformats.org/officeDocument/2006/relationships/hyperlink" Target="http://www.consultant.ru/law/ref/calendar/proizvodstvennye/20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751</Words>
  <Characters>4281</Characters>
  <Application>Microsoft Office Word</Application>
  <DocSecurity>0</DocSecurity>
  <Lines>35</Lines>
  <Paragraphs>10</Paragraphs>
  <ScaleCrop>false</ScaleCrop>
  <Company>diakov.net</Company>
  <LinksUpToDate>false</LinksUpToDate>
  <CharactersWithSpaces>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2018-07-16T09:33:00Z</dcterms:created>
  <dcterms:modified xsi:type="dcterms:W3CDTF">2018-07-16T10:18:00Z</dcterms:modified>
</cp:coreProperties>
</file>